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陕西岳达德馨生物制药有限公司项目举行开工仪式！</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3-10-27</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10月24日，陕西岳达德馨生物制药有限公司项目在渭南高新区举行奠基开工仪式。岳达董事长张天博士宣布项目正式开工，岳达股东、施工方代表等出席奠基仪式，共同见证了这一重要时刻！</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新工厂鸟瞰图</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奠基&amp;#183;现场</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www.daynatural.cn/meitibaodao/227.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